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9F" w:rsidRPr="00AB4CB9" w:rsidRDefault="00A1439F" w:rsidP="00A1439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4C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17CE32</w:t>
      </w:r>
      <w:r w:rsidRPr="000B05B4">
        <w:rPr>
          <w:rFonts w:ascii="Times New Roman" w:hAnsi="Times New Roman" w:cs="Times New Roman"/>
          <w:b/>
          <w:sz w:val="24"/>
          <w:u w:val="single"/>
        </w:rPr>
        <w:t>05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- </w:t>
      </w:r>
      <w:r w:rsidRPr="00AB4CB9">
        <w:rPr>
          <w:rFonts w:ascii="Times New Roman" w:hAnsi="Times New Roman" w:cs="Times New Roman"/>
          <w:b/>
          <w:sz w:val="24"/>
          <w:szCs w:val="24"/>
          <w:u w:val="single"/>
        </w:rPr>
        <w:t>QUANTITY SURVEYING AND VALUATION</w:t>
      </w:r>
    </w:p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2416"/>
        <w:gridCol w:w="3953"/>
        <w:gridCol w:w="1925"/>
      </w:tblGrid>
      <w:tr w:rsidR="00A1439F" w:rsidRPr="00B5789C" w:rsidTr="004D2C04">
        <w:trPr>
          <w:trHeight w:val="360"/>
          <w:jc w:val="center"/>
        </w:trPr>
        <w:tc>
          <w:tcPr>
            <w:tcW w:w="1001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165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906" w:type="pct"/>
            <w:vAlign w:val="center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39F" w:rsidRPr="00B5789C" w:rsidTr="004D2C04">
        <w:trPr>
          <w:trHeight w:val="360"/>
          <w:jc w:val="center"/>
        </w:trPr>
        <w:tc>
          <w:tcPr>
            <w:tcW w:w="1001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06" w:type="pct"/>
            <w:vAlign w:val="center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1439F" w:rsidRPr="00B5789C" w:rsidTr="004D2C04">
        <w:trPr>
          <w:trHeight w:val="360"/>
          <w:jc w:val="center"/>
        </w:trPr>
        <w:tc>
          <w:tcPr>
            <w:tcW w:w="1001" w:type="pct"/>
            <w:vMerge w:val="restar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vMerge w:val="restart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Building Technology</w:t>
            </w:r>
          </w:p>
        </w:tc>
        <w:tc>
          <w:tcPr>
            <w:tcW w:w="1906" w:type="pct"/>
            <w:tcBorders>
              <w:bottom w:val="single" w:sz="4" w:space="0" w:color="auto"/>
            </w:tcBorders>
            <w:vAlign w:val="center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439F" w:rsidRPr="00B5789C" w:rsidTr="004D2C04">
        <w:trPr>
          <w:trHeight w:val="360"/>
          <w:jc w:val="center"/>
        </w:trPr>
        <w:tc>
          <w:tcPr>
            <w:tcW w:w="1001" w:type="pct"/>
            <w:vMerge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439F" w:rsidRPr="00B5789C" w:rsidTr="004D2C04">
        <w:trPr>
          <w:trHeight w:val="360"/>
          <w:jc w:val="center"/>
        </w:trPr>
        <w:tc>
          <w:tcPr>
            <w:tcW w:w="1001" w:type="pct"/>
            <w:vMerge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</w:tcBorders>
            <w:vAlign w:val="center"/>
          </w:tcPr>
          <w:p w:rsidR="00A1439F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A1439F" w:rsidRPr="00B5789C" w:rsidRDefault="00A1439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3632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99"/>
        <w:gridCol w:w="8112"/>
      </w:tblGrid>
      <w:tr w:rsidR="00A1439F" w:rsidRPr="00437683" w:rsidTr="004D2C04">
        <w:trPr>
          <w:trHeight w:val="1427"/>
        </w:trPr>
        <w:tc>
          <w:tcPr>
            <w:tcW w:w="717" w:type="pct"/>
            <w:tcBorders>
              <w:bottom w:val="single" w:sz="4" w:space="0" w:color="auto"/>
            </w:tcBorders>
          </w:tcPr>
          <w:p w:rsidR="00A1439F" w:rsidRPr="00437683" w:rsidRDefault="00A1439F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83" w:type="pct"/>
            <w:gridSpan w:val="2"/>
          </w:tcPr>
          <w:p w:rsidR="00A1439F" w:rsidRPr="00EF5008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prepare an estimate for civil engineering works.</w:t>
            </w:r>
          </w:p>
          <w:p w:rsidR="00A1439F" w:rsidRPr="00EF5008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understand 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significance of specifications.</w:t>
            </w:r>
          </w:p>
          <w:p w:rsidR="00A1439F" w:rsidRPr="00EF5008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perform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rate analysis of various items of work.</w:t>
            </w:r>
          </w:p>
          <w:p w:rsidR="00A1439F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generate the contract and contract documents.</w:t>
            </w:r>
          </w:p>
          <w:p w:rsidR="00A1439F" w:rsidRPr="00EF5008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tenders and arbitration of tenders.</w:t>
            </w:r>
          </w:p>
          <w:p w:rsidR="00A1439F" w:rsidRPr="00EF5008" w:rsidRDefault="00A1439F" w:rsidP="00A143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prepare the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valuation document.</w:t>
            </w:r>
          </w:p>
        </w:tc>
      </w:tr>
      <w:tr w:rsidR="00A1439F" w:rsidRPr="00437683" w:rsidTr="004D2C04">
        <w:trPr>
          <w:trHeight w:val="427"/>
        </w:trPr>
        <w:tc>
          <w:tcPr>
            <w:tcW w:w="717" w:type="pct"/>
            <w:vMerge w:val="restart"/>
          </w:tcPr>
          <w:p w:rsidR="00A1439F" w:rsidRPr="000D030F" w:rsidRDefault="00A1439F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repare approximate and detailed estimates of simple buildings.</w:t>
            </w:r>
          </w:p>
        </w:tc>
      </w:tr>
      <w:tr w:rsidR="00A1439F" w:rsidRPr="00437683" w:rsidTr="004D2C04">
        <w:trPr>
          <w:trHeight w:val="121"/>
        </w:trPr>
        <w:tc>
          <w:tcPr>
            <w:tcW w:w="717" w:type="pct"/>
            <w:vMerge/>
          </w:tcPr>
          <w:p w:rsidR="00A1439F" w:rsidRPr="00437683" w:rsidRDefault="00A1439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specifications of various components of simple building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439F" w:rsidRPr="00437683" w:rsidTr="004D2C04">
        <w:trPr>
          <w:trHeight w:val="100"/>
        </w:trPr>
        <w:tc>
          <w:tcPr>
            <w:tcW w:w="717" w:type="pct"/>
            <w:vMerge/>
          </w:tcPr>
          <w:p w:rsidR="00A1439F" w:rsidRPr="00437683" w:rsidRDefault="00A1439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arry out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rate analysis for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 structure and super structure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works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simple buildings.</w:t>
            </w:r>
          </w:p>
        </w:tc>
      </w:tr>
      <w:tr w:rsidR="00A1439F" w:rsidRPr="00437683" w:rsidTr="004D2C04">
        <w:trPr>
          <w:trHeight w:val="100"/>
        </w:trPr>
        <w:tc>
          <w:tcPr>
            <w:tcW w:w="717" w:type="pct"/>
            <w:vMerge/>
          </w:tcPr>
          <w:p w:rsidR="00A1439F" w:rsidRPr="00437683" w:rsidRDefault="00A1439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Perform 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rate analysis for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roofing, plastering, pointing and wood works of simple buildings.</w:t>
            </w:r>
          </w:p>
        </w:tc>
      </w:tr>
      <w:tr w:rsidR="00A1439F" w:rsidRPr="00437683" w:rsidTr="004D2C04">
        <w:trPr>
          <w:trHeight w:val="100"/>
        </w:trPr>
        <w:tc>
          <w:tcPr>
            <w:tcW w:w="717" w:type="pct"/>
            <w:vMerge/>
          </w:tcPr>
          <w:p w:rsidR="00A1439F" w:rsidRPr="00437683" w:rsidRDefault="00A1439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tenders and arbitration of tenders.</w:t>
            </w:r>
          </w:p>
        </w:tc>
      </w:tr>
      <w:tr w:rsidR="00A1439F" w:rsidRPr="00437683" w:rsidTr="004D2C04">
        <w:trPr>
          <w:trHeight w:val="100"/>
        </w:trPr>
        <w:tc>
          <w:tcPr>
            <w:tcW w:w="717" w:type="pct"/>
            <w:vMerge/>
          </w:tcPr>
          <w:p w:rsidR="00A1439F" w:rsidRPr="00437683" w:rsidRDefault="00A1439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</w:tcPr>
          <w:p w:rsidR="00A1439F" w:rsidRPr="00437683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  <w:vAlign w:val="center"/>
          </w:tcPr>
          <w:p w:rsidR="00A1439F" w:rsidRPr="0064633D" w:rsidRDefault="00A1439F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Prepare valuation document.</w:t>
            </w:r>
          </w:p>
        </w:tc>
      </w:tr>
      <w:tr w:rsidR="00A1439F" w:rsidRPr="00437683" w:rsidTr="004D2C04">
        <w:trPr>
          <w:trHeight w:val="266"/>
        </w:trPr>
        <w:tc>
          <w:tcPr>
            <w:tcW w:w="717" w:type="pct"/>
          </w:tcPr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83" w:type="pct"/>
            <w:gridSpan w:val="2"/>
          </w:tcPr>
          <w:p w:rsidR="00A1439F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A1439F" w:rsidRPr="00B029C5" w:rsidRDefault="00A1439F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General items of work in buildings – Standard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s – Principles of working out quantities for detailed and abstract estimates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pproximate and detailed estimates of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 buildings and road works.</w:t>
            </w:r>
          </w:p>
          <w:p w:rsidR="00A1439F" w:rsidRPr="00B029C5" w:rsidRDefault="00A1439F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A1439F" w:rsidRDefault="00A1439F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SPECIFICATIONS: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Types – Standard specifications for different items of building constructi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– Earth work for foundations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Sand– Cement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Kankar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Mortars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oundation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Reinforced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Brick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Stone masonry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Lime–Mosaic Flooring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RCC roof and GI sheet 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lastering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ointing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Painting and wood works.</w:t>
            </w:r>
          </w:p>
          <w:p w:rsidR="00A1439F" w:rsidRDefault="00A1439F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Default="00A1439F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Pr="00563763" w:rsidRDefault="00A1439F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A1439F" w:rsidRPr="00B029C5" w:rsidRDefault="00A1439F" w:rsidP="004D2C04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RATE ANALYSIS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439F" w:rsidRPr="00B029C5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Earth work for foundations and basement of buildings.</w:t>
            </w:r>
          </w:p>
          <w:p w:rsidR="00A1439F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Mortars: Lime mortar (1:1.5)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Cement Mortar (1:4)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39F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Foundation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oncrete: Lime concrete (1:2:4)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Cement Concrete (1:5:10)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39F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Reinforced Concrete: Lintels, Slabs, Beams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Columns (1:2:4)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39F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Brick work : Constructed with first class bricks with L.M. (1:1.5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C.M.(1:6)</w:t>
            </w:r>
          </w:p>
          <w:p w:rsidR="00A1439F" w:rsidRDefault="00A1439F" w:rsidP="004D2C04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Stone Masonry: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C.R.S. – 1</w:t>
            </w:r>
            <w:r w:rsidRPr="00B0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sort constructed with C.M. (1:2) and </w:t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R.R.Mason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39F" w:rsidRDefault="00A1439F" w:rsidP="004D2C04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Mud: Lime mortar (1:1.5) and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C.M. (1:2)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39F" w:rsidRDefault="00A1439F" w:rsidP="004D2C04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Flooring: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39F" w:rsidRPr="00BF2CD3" w:rsidRDefault="00A1439F" w:rsidP="00A1439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spellStart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Cuddapah</w:t>
            </w:r>
            <w:proofErr w:type="spellEnd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Shahbad</w:t>
            </w:r>
            <w:proofErr w:type="spellEnd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 xml:space="preserve"> slabs.</w:t>
            </w:r>
          </w:p>
          <w:p w:rsidR="00A1439F" w:rsidRPr="00BF2CD3" w:rsidRDefault="00A1439F" w:rsidP="00A1439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Ellis pattern flooring with 10cm concrete and 20mm cement  concrete surface</w:t>
            </w:r>
          </w:p>
          <w:p w:rsidR="00A1439F" w:rsidRPr="00BF2CD3" w:rsidRDefault="00A1439F" w:rsidP="00A1439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Mosaic flooring.</w:t>
            </w:r>
          </w:p>
          <w:p w:rsidR="00A1439F" w:rsidRDefault="00A1439F" w:rsidP="004D2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Default="00A1439F" w:rsidP="004D2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A1439F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RATE ANALYSIS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-II:</w:t>
            </w:r>
          </w:p>
          <w:p w:rsidR="00A1439F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Roofing: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R.C.C. roof 10cm thick, 2 courses of flat tiles to top. 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b) A.C. corrugated sheet roofing on steel purlins.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Plastering :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With L.M. (1:1.5) 2 coats (20mm thick)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C.M. (1:4) 12mm thick.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Pointing: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With C.M. (1:3) flush pointing to R.R. Masonry.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C.M. (1:3) for brick masonry.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Painting: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White washing and colour washing of walls: 2 coats.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Painting iron and wood work: 3 coats.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Wood work: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Pane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led doors and windows.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W.B.M. road with bituminous carpet 20mm thick.</w:t>
            </w:r>
          </w:p>
          <w:p w:rsidR="00A1439F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–V</w:t>
            </w:r>
          </w:p>
          <w:p w:rsidR="00A1439F" w:rsidRPr="00A21AB5" w:rsidRDefault="00A1439F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CONTRACTS: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Types of contracts–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of contracts–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Termination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of contracts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Specifications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Important conditions of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Arbitration and tenders.</w:t>
            </w:r>
          </w:p>
          <w:p w:rsidR="00A1439F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A1439F" w:rsidRPr="00364231" w:rsidRDefault="00A1439F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VALUATION: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Introduction–Technique of valuation–Elements of valuation and Factors affecting valuation–Methods of valuation of land property and building property–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ate of interest for sale–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urchase–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ortgage–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apital gain–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ax–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duty and death duty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Types of valuation – Valuation for renewal of lease–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xtension of lease–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tandard rent–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asement rights–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reparation of feasibility reports–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aluation of reports–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wards.</w:t>
            </w:r>
          </w:p>
        </w:tc>
      </w:tr>
      <w:tr w:rsidR="00A1439F" w:rsidRPr="00437683" w:rsidTr="004D2C04">
        <w:trPr>
          <w:trHeight w:val="3567"/>
        </w:trPr>
        <w:tc>
          <w:tcPr>
            <w:tcW w:w="717" w:type="pct"/>
          </w:tcPr>
          <w:p w:rsidR="00A1439F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9F" w:rsidRPr="00437683" w:rsidRDefault="00A1439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References</w:t>
            </w:r>
          </w:p>
        </w:tc>
        <w:tc>
          <w:tcPr>
            <w:tcW w:w="4283" w:type="pct"/>
            <w:gridSpan w:val="2"/>
          </w:tcPr>
          <w:p w:rsidR="00A1439F" w:rsidRDefault="00A1439F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1439F" w:rsidRPr="00B029C5" w:rsidRDefault="00A1439F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A1439F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stimating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B.N. </w:t>
            </w:r>
            <w:proofErr w:type="spellStart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Dutta</w:t>
            </w:r>
            <w:proofErr w:type="spellEnd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439F" w:rsidRDefault="00A1439F" w:rsidP="00A1439F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Estimating and Co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sting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Civil Engineering</w:t>
            </w: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G.S.Birdie</w:t>
            </w:r>
            <w:proofErr w:type="spellEnd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439F" w:rsidRPr="00B029C5" w:rsidRDefault="00A1439F" w:rsidP="00A1439F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Estimating, Costing and Valuation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Rangwala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439F" w:rsidRPr="00B029C5" w:rsidRDefault="00A1439F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</w:t>
            </w:r>
            <w:r w:rsidRPr="00EA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S:</w:t>
            </w:r>
          </w:p>
          <w:p w:rsidR="00A1439F" w:rsidRPr="00B10289" w:rsidRDefault="00A1439F" w:rsidP="00A1439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89">
              <w:rPr>
                <w:rFonts w:ascii="Times New Roman" w:eastAsia="Times New Roman" w:hAnsi="Times New Roman" w:cs="Times New Roman"/>
                <w:sz w:val="24"/>
                <w:szCs w:val="24"/>
              </w:rPr>
              <w:t>A.P.D.S.S. Standard data book Vol. II.</w:t>
            </w:r>
          </w:p>
          <w:p w:rsidR="00A1439F" w:rsidRPr="00B029C5" w:rsidRDefault="00A1439F" w:rsidP="00A1439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A.P. Department standard specifications.</w:t>
            </w:r>
          </w:p>
          <w:p w:rsidR="00A1439F" w:rsidRPr="007E1B23" w:rsidRDefault="00A1439F" w:rsidP="00A1439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practice by </w:t>
            </w:r>
            <w:proofErr w:type="spellStart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Roshan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Namvati</w:t>
            </w:r>
            <w:proofErr w:type="spellEnd"/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16433" w:rsidRDefault="00A16433">
      <w:bookmarkStart w:id="0" w:name="_GoBack"/>
      <w:bookmarkEnd w:id="0"/>
    </w:p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6F2C"/>
    <w:multiLevelType w:val="hybridMultilevel"/>
    <w:tmpl w:val="9142F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C2"/>
    <w:rsid w:val="00024A29"/>
    <w:rsid w:val="003E36C2"/>
    <w:rsid w:val="005B57C0"/>
    <w:rsid w:val="00A1439F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439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1439F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439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1439F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2019-03-23T14:13:00Z</dcterms:created>
  <dcterms:modified xsi:type="dcterms:W3CDTF">2019-03-23T14:13:00Z</dcterms:modified>
</cp:coreProperties>
</file>